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/>
        <w:ind w:left="0" w:firstLine="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</w:rPr>
        <w:t>申请公用房工作流程说明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适用范围：校内各单位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流程目标：规范公用房分配调整，提升审批效率。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流程步骤：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1.提交申请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申请单位拟定申请公用房报告（单位主要负责人签字并加盖公章），附上和申请相关的材料，一并报送资产处；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2.制定方案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资产处土地公房管理办公室审核申请事项，分类制定公用房分配调整方案;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3.决策程序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（1）大规模、系统性公用房分配调整方案，提请校长办公会审议。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（2）零星公用房分配调整，经资产处处长办公会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研究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，并报请分管校领导签批。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（3）校内单位临时借用公用房，由资产处处长办公会会审议。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资产处根据有关会议决议以及签批意见，下发公用房调配通知，组织相关单位进行公用房交接，并办理公用房分配调整登记手续。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755E4"/>
    <w:rsid w:val="137D0DEC"/>
    <w:rsid w:val="2A581813"/>
    <w:rsid w:val="2C892158"/>
    <w:rsid w:val="33134E71"/>
    <w:rsid w:val="346B7BCB"/>
    <w:rsid w:val="3E2E5FA2"/>
    <w:rsid w:val="45656FBE"/>
    <w:rsid w:val="48FF58C6"/>
    <w:rsid w:val="55CE2806"/>
    <w:rsid w:val="599D6D1D"/>
    <w:rsid w:val="5CC93D27"/>
    <w:rsid w:val="5E4C6353"/>
    <w:rsid w:val="6CEA2528"/>
    <w:rsid w:val="7A06123C"/>
    <w:rsid w:val="7BC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2022-02-20T03:05:00Z</dcterms:created>
  <dc:creator>59227</dc:creator>
  <cp:lastModifiedBy>阿狸</cp:lastModifiedBy>
  <dcterms:modified xsi:type="dcterms:W3CDTF">2022-03-02T06:35:38Z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1D1A975811AD42E48B3985FE65ED9BAF</vt:lpwstr>
  </property>
</Properties>
</file>