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附件：</w:t>
      </w:r>
      <w:bookmarkStart w:id="0" w:name="_GoBack"/>
      <w:bookmarkEnd w:id="0"/>
    </w:p>
    <w:p>
      <w:pPr>
        <w:spacing w:line="360" w:lineRule="auto"/>
        <w:ind w:firstLine="560" w:firstLineChars="200"/>
        <w:jc w:val="center"/>
        <w:rPr>
          <w:rFonts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教育部</w:t>
      </w:r>
      <w:r>
        <w:rPr>
          <w:rFonts w:hAnsi="黑体" w:eastAsia="黑体"/>
          <w:sz w:val="28"/>
          <w:szCs w:val="28"/>
        </w:rPr>
        <w:t>直属高校固定资产最低使用年限表</w:t>
      </w:r>
    </w:p>
    <w:tbl>
      <w:tblPr>
        <w:tblStyle w:val="3"/>
        <w:tblW w:w="86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594"/>
        <w:gridCol w:w="2567"/>
        <w:gridCol w:w="23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固定资产类别</w:t>
            </w:r>
          </w:p>
        </w:tc>
        <w:tc>
          <w:tcPr>
            <w:tcW w:w="4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  <w:t>最低使用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年限</w:t>
            </w:r>
            <w:r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房屋及构筑物</w:t>
            </w:r>
          </w:p>
        </w:tc>
        <w:tc>
          <w:tcPr>
            <w:tcW w:w="159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业务及管理用房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钢结构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钢筋混凝土结构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砖混结构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砖木结构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简易房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房屋附属设施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构筑物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计算机设备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办公设备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车辆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图书档案设备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机械设备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电气设备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雷达、无线电和卫星导航设备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通信设备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广播、电视、电影设备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仪器仪表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电子和通信测量设备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计量标准器具及量具、衡器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专用设备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探矿、采矿、选矿和造块设备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石油天然气开采专用设备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石油和化学工业专用设备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炼焦和金属冶炼轧制设备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电力工业专用设备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非金属矿物制品工业专用设备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核工业专用设备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航空航天工业专用设备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工程机械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农业和林业机械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木材采集和加工设备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食品加工专用设备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饮料加工设备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烟草加工设备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粮油作物和饲料加工设备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纺织设备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缝纫、服饰、制革和毛皮加工设备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造纸和印刷机械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化学药品和中药专用设备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医疗设备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电工、电子专用生产设备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安全生产设备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邮政专用设备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环境污染防治设备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公安专用设备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水工机械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殡葬设备及用品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铁路运输设备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水上交通运输设备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航空器及其配套设备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专用仪器仪表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文艺设备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体育设备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娱乐设备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家具、用具及装具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家具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用具、装具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98"/>
    <w:rsid w:val="007F3ABA"/>
    <w:rsid w:val="00BD4798"/>
    <w:rsid w:val="3934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651</Characters>
  <Lines>5</Lines>
  <Paragraphs>1</Paragraphs>
  <TotalTime>1</TotalTime>
  <ScaleCrop>false</ScaleCrop>
  <LinksUpToDate>false</LinksUpToDate>
  <CharactersWithSpaces>764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2018-02-05T09:01:00Z</dcterms:created>
  <dc:creator>刘潇翰</dc:creator>
  <cp:lastModifiedBy>Joanna</cp:lastModifiedBy>
  <dcterms:modified xsi:type="dcterms:W3CDTF">2018-05-20T09:18:09Z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